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2022/82 vom 20. Oktober 2022</w:t>
      </w:r>
    </w:p>
    <w:p>
      <w:r>
        <w:t>Sg Verwaltungsgericht, 2022-10-20, DE</w:t>
      </w:r>
    </w:p>
    <w:p>
      <w:r>
        <w:rPr>
          <w:b/>
        </w:rPr>
        <w:t xml:space="preserve">Quelle: </w:t>
      </w:r>
      <w:r>
        <w:t>https://mcp.opencaselaw.ch/entscheid/sg_publikationen_B 2022_82</w:t>
      </w:r>
    </w:p>
    <w:p>
      <w:r>
        <w:t>FR: SG_VERWALTUNGSGERICHT B 2022/82 du 20 octobre 2022</w:t>
      </w:r>
    </w:p>
    <w:p>
      <w:r>
        <w:t>IT: SG_VERWALTUNGSGERICHT B 2022/82 del 20 ottobre 2022</w:t>
      </w:r>
    </w:p>
    <w:p>
      <w:pPr>
        <w:pStyle w:val="Heading2"/>
      </w:pPr>
      <w:r>
        <w:t>Regeste</w:t>
      </w:r>
    </w:p>
    <w:p>
      <w:r>
        <w:t>Enteignung. Art. 15 f. EntG (sGS 735.1). Art. 26 Abs. 2 BV (SR 101). Entschädigung Landabtretung für Strassenbau. Streitig war die Landwertkürzung für im Strassenabstand liegendes "Vorgartenland". Das Verwaltungsgericht hielt fest, dass sich dem EntG selbst keine Antwort zur Frage entnehmen lasse, ob im Fall von Teilenteignungen von Grundstücken der Wert des zu enteignenden Teils losgelöst und abweichend vom verbleibenden Teil des Grundstücks bemessen werden dürfe oder nicht. Eine Auslegung von Art. 15 Abs. 1 lit. a EntG im Sinn eines Verzichts auf eine Preisdifferenzierung innerhalb des Grundstücks falle hier insofern in Betracht, als auch bei einem Verkauf eines zum grossen Teil überbauten und ausgenützten Grundstücks für die Festlegung des m2-Preises des jeweiligen Landes in aller Regel nicht zwischen einzelnen Abschnitten des Grundstücks unterschieden werde. Vielmehr erfolge die Landpreisfestlegung in aller Regel einheitlich für das ganze Grundstück. Hätte mithin die Beschwerdegegnerin ihre Liegenschaft als Ganzes (einschliesslich des teilenteigneten Abschnitts) verkauft, wäre selbstredend auch für den nunmehr enteigneten Teil keine separate (tiefere) Preisfestlegung erfolgt. Sodann weise die Vorinstanz darauf hin, dass eine sachliche Differenzierung, welcher Teil des Grundstücks dem vollen Wert entspreche und bei welchem Teil dies nicht der Fall sei, sich nur schwierig umsetzen liesse (act. G 2 S. 5). Dies lasse sich insofern nicht von der Hand weisen, als diesfalls eine Vielzahl möglicher Kriterien (Belichtung, Neigung und grössere Nähe oder Entfernung der Teilfläche zu allfälligen Lärm-, Geruchs- und Bestrahlungsquellen, mögliche Nutzung der Teilfläche als Veloparkplatz/Abstellplatz/Briefkastenplatzierung/Blumenbeet, potentielle unterirdische Nutzung der Teilfläche [Tiefgarage] usw.) für die Differenzierung des m2-Preises für Teilflächen innerhalb desselben Grundstücks zur Diskussion gestellt und gewertet werden müssten. Würde ein Abzug für "Vorgartenland" als zulässig erachtet, wären bei der Festlegung der Enteignungsentschädigung für diese Teilfläche auch sämtliche anderen wertmindernden und werterhöhenden Aspekte gleichrangig in die Prüfung miteinzubeziehen. Mithin möge es zwar Fälle geben, in denen ein Abzug für "Vorgartenland" in Betracht zu ziehen wäre, soweit eine Abtretung die bauliche Nutzung des Grundstücks nicht beeinträchtige. Im vorliegenden Fall sei jedoch kein Sachverhalt dargetan, welcher einen solchen Abzug rechtfertigen würde. Von daher habe die Vorinstanz einen Abzug für "Vorgartenland" zu Recht abgelehnt (Verwaltungsgericht, B 2022/82).</w:t>
      </w:r>
    </w:p>
    <w:p>
      <w:pPr>
        <w:pStyle w:val="Heading2"/>
      </w:pPr>
      <w:r>
        <w:t>Erwägungen</w:t>
      </w:r>
    </w:p>
    <w:p>
      <w:r>
        <w:rPr>
          <w:b/>
        </w:rPr>
        <w:t>E. 2</w:t>
      </w:r>
    </w:p>
    <w:p>
      <w:r>
        <w:t>-Landpreises von CHF 633 nicht zu beanstanden ist. Ein Anlass für eine Korrektur des vorinstanzlichen Entscheids durch das Verwaltungsgericht lässt sich weder den Akten entnehmen noch kann ein solcher aufgrund der Darlegungen des Beschwerdeführers als zureichend begründet gelten. Entsprechend erweist sich die Beschwerde diesbezüglich denn auch als unbegründet. Gemäss Art. 47 Abs. 1 EntG trägt der Enteigner die amtlichen Kosten des Enteignungsverfahrens. Der Beschwerdeführer hat damit die von der Vorinstanz auf pauschal CHF 3'000 festgelegten Kosten zu übernehmen. Die Kostenfestsetzung bewegt sich betragsmässig im Rahmen des Gebührentarifs für die Kantons- und Gemeindeverwaltung (sGS 821.5; Ziff. 10.01) und wurde als solche auch nicht beanstandet. Gemäss Art. 48 EntG entschädigt die Enteignerin den Enteigneten angemessen für die notwendigen ausseramtlichen Kosten. Die von der Vorinstanz mit Hinweis auf die eingereichte Kostennote begründete Festsetzung der Parteientschädigung mit CHF 2'770.40 (einschliesslich Barauslagen und Mehrwertsteuer) blieb betragsmässig ebenfalls unbeanstandet. Im Sinn der vorstehenden Erwägungen erweist sich die Beschwerde als unbegründet. Sie ist daher abzuweisen. Für die Kosten im Beschwerdeverfahren gegen Verfügungen und Entscheide der Schätzungskommission gilt nach Art. 49 EntG das VRP. Eine Entscheidgebühr von CHF 3'000 erscheint für das vorliegende Verfahren angemessen (Art. 7 Ziff. 222 der Gerichtskostenverordnung, sGS 941.12). Dem Verfahrensausgang entsprechend sind die amtlichen Kosten dem Beschwerdeführer (Staat) aufzuerlegen (Art. 95 Abs. 1 VRP); auf die Kostenerhebung ist, nachdem mit der Beschwerde überwiegend finanzielle Interessen verfolgt werden, nicht zu verzichten (Art. 95 Abs. 3 VRP). Beschwerdeführer und Vorinstanz haben keinen Anspruch auf ausseramtliche Entschädigung (Art. 98 Abs. 1 VRP in Verbindung mit Art. 98 bis VRP; A. Linder, in: Rizvi/Schindler/Cavelti [Hrsg.], Gesetz über die Verwaltungsrechtspflege, Praxiskommentar, 2020, N 20 zu Art. 98 bis VRP). Demgegenüber ist die Beschwerdegegnerin für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erscheint eine Entschädigung der Beschwerdegegnerin durch den Beschwerdeführer (Staat) mit insgesamt CHF 3'000 zuzüglich 4 % Barauslagen (CHF 120) und Mehrwertsteuer als angemessen (Art. 19, 22 Abs. 1 Ingress und lit. b, 28 bis und 29 VRP). Demnach erkennt das Verwaltungsgericht zu Recht: Die Beschwerde wird abgewiesen. Der Beschwerdeführer (Staat) trägt die amtlichen Kosten von CHF 3'000; auf die Erhebung wird nicht verzichtet. Der Beschwerdeführer (Staat) entschädigt die Beschwerdegegnerin mit CHF 3'000 zuzüglich Barauslagen von CHF 120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